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4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6"/>
                <w:szCs w:val="16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 w:ascii="Times New Roman" w:hAnsi="Times New Roman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 w:ascii="Times New Roman" w:hAnsi="Times New Roman"/>
          <w:b/>
          <w:bCs/>
          <w:sz w:val="28"/>
        </w:rPr>
        <w:t>dotyczące spełniania warunków udziału w postępowaniu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BodyText3"/>
        <w:jc w:val="center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oświadczam/my,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</w:rPr>
        <w:t>INFORMACJA DOTYCZĄCA WYKONAWCY: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Oświadczam/my, że spełniam/my warunki udziału w postępowaniu określone przez zamawiającego w pkt 7.1  specyfikacji istotnych warunków zamówienia.</w:t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b/>
        </w:rPr>
        <w:t>INFORMACJA W ZWIĄZKU Z POLEGANIEM NA ZASOBACH INNYCH PODMIOTÓW</w:t>
      </w:r>
      <w:r>
        <w:rPr>
          <w:rFonts w:cs="Tahoma" w:ascii="Times New Roman" w:hAnsi="Times New Roman"/>
        </w:rPr>
        <w:t xml:space="preserve">: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udziału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i/>
          <w:sz w:val="20"/>
          <w:szCs w:val="20"/>
        </w:rPr>
        <w:t>(wskazać właściwą jednostkę redakcyjną specyfikacji istotnych warunków zamówienia, w której określono warunki udziału w postępowaniu lub opisać warunek udziału, którego dotyczy),</w:t>
      </w:r>
      <w:r>
        <w:rPr>
          <w:rFonts w:cs="Tahoma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polegam na zasobach następującego/ych podmiotu/ów: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cs="Tahoma" w:ascii="Times New Roman" w:hAnsi="Times New Roman"/>
          <w:sz w:val="24"/>
          <w:szCs w:val="24"/>
        </w:rPr>
        <w:t xml:space="preserve">w następującym zakresie: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ahoma"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>
          <w:trHeight w:val="559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</w:tr>
    </w:tbl>
    <w:p>
      <w:pPr>
        <w:pStyle w:val="Wcicietrecitekstu"/>
        <w:spacing w:before="0" w:after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417" w:right="1417" w:header="708" w:top="113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A.391.1.</w:t>
    </w:r>
    <w:r>
      <w:rPr>
        <w:rFonts w:ascii="Times New Roman" w:hAnsi="Times New Roman"/>
      </w:rPr>
      <w:t>2019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LibreOffice/6.1.2.1$Windows_x86 LibreOffice_project/65905a128db06ba48db947242809d14d3f9a93fe</Application>
  <Pages>1</Pages>
  <Words>203</Words>
  <Characters>1553</Characters>
  <CharactersWithSpaces>1740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2017-01-13T09:19:00Z</dcterms:created>
  <dc:creator>Wojciech Babiarczuk</dc:creator>
  <dc:description/>
  <dc:language>pl-PL</dc:language>
  <cp:lastModifiedBy/>
  <cp:lastPrinted>2019-04-03T08:29:43Z</cp:lastPrinted>
  <dcterms:modified xsi:type="dcterms:W3CDTF">2019-04-03T08:37:35Z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